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99" w:rsidRPr="00614599" w:rsidRDefault="00614599" w:rsidP="00614599">
      <w:pPr>
        <w:jc w:val="center"/>
        <w:rPr>
          <w:b/>
        </w:rPr>
      </w:pPr>
      <w:r w:rsidRPr="00614599">
        <w:rPr>
          <w:b/>
        </w:rPr>
        <w:t xml:space="preserve">VOUS AVEZ UN </w:t>
      </w:r>
      <w:r w:rsidR="002C7641">
        <w:rPr>
          <w:b/>
        </w:rPr>
        <w:t>PROJET DE CREATION D’ENTREPRISE</w:t>
      </w:r>
    </w:p>
    <w:p w:rsidR="00614599" w:rsidRPr="00614599" w:rsidRDefault="00614599" w:rsidP="00614599">
      <w:pPr>
        <w:jc w:val="center"/>
        <w:rPr>
          <w:b/>
        </w:rPr>
      </w:pPr>
      <w:r w:rsidRPr="00614599">
        <w:rPr>
          <w:b/>
        </w:rPr>
        <w:t>SEINE NORMANDIE AGGLOMERATION VOUS ACCOMPAGNE AVEC SES PARTENAIRES</w:t>
      </w:r>
    </w:p>
    <w:p w:rsidR="0080517D" w:rsidRDefault="009866C8" w:rsidP="003A544A">
      <w:pPr>
        <w:jc w:val="both"/>
      </w:pPr>
      <w:r>
        <w:t xml:space="preserve">Dans le cadre du dispositif </w:t>
      </w:r>
      <w:r w:rsidR="002C7641">
        <w:t>« </w:t>
      </w:r>
      <w:r>
        <w:t>Ici Je monte ma Boite</w:t>
      </w:r>
      <w:r w:rsidR="002C7641">
        <w:t> »</w:t>
      </w:r>
      <w:r w:rsidR="003A544A">
        <w:t xml:space="preserve"> (</w:t>
      </w:r>
      <w:r w:rsidR="003A544A" w:rsidRPr="003A544A">
        <w:t>https://www.normandie.fr/ici-je-monte-ma-boite</w:t>
      </w:r>
      <w:r w:rsidR="003A544A">
        <w:t>)</w:t>
      </w:r>
      <w:r>
        <w:t xml:space="preserve"> et afin d’accompagner les porteurs de projets, différents partenaires de Seine Normandie Agglomération </w:t>
      </w:r>
      <w:r w:rsidR="00793ADE">
        <w:t xml:space="preserve">tiennent </w:t>
      </w:r>
      <w:r>
        <w:t xml:space="preserve">des permanences </w:t>
      </w:r>
      <w:r w:rsidR="007D3F8D">
        <w:t xml:space="preserve">à </w:t>
      </w:r>
      <w:proofErr w:type="spellStart"/>
      <w:r w:rsidR="007D3F8D">
        <w:t>Douains</w:t>
      </w:r>
      <w:proofErr w:type="spellEnd"/>
      <w:r>
        <w:t>, aux Andelys et au Campus de l’Espace à Vernon</w:t>
      </w:r>
      <w:r w:rsidR="007D3F8D">
        <w:t>.</w:t>
      </w:r>
    </w:p>
    <w:p w:rsidR="009866C8" w:rsidRDefault="009866C8" w:rsidP="003A544A">
      <w:pPr>
        <w:jc w:val="both"/>
      </w:pPr>
      <w:r>
        <w:t>Dans les locaux de Seine Normandie Agglomération</w:t>
      </w:r>
      <w:r w:rsidR="00232483">
        <w:t xml:space="preserve"> à Douains</w:t>
      </w:r>
      <w:r>
        <w:t xml:space="preserve">, vous pouvez rencontrer la Chambre de Commerce et d’Industrie des Portes de l’Eure (CCI) ou la Chambre de Métiers et d’Artisanat de l’Eure (CMA). Pour cela, il faut </w:t>
      </w:r>
      <w:r w:rsidR="00793ADE">
        <w:t xml:space="preserve">obligatoirement </w:t>
      </w:r>
      <w:r>
        <w:t>prendre rendez-vous</w:t>
      </w:r>
      <w:r w:rsidR="00793ADE">
        <w:t xml:space="preserve"> en amont :</w:t>
      </w:r>
    </w:p>
    <w:p w:rsidR="009866C8" w:rsidRDefault="009866C8" w:rsidP="003A544A">
      <w:pPr>
        <w:jc w:val="both"/>
      </w:pPr>
      <w:r>
        <w:t xml:space="preserve">CCI : Astrid Picard :  </w:t>
      </w:r>
      <w:hyperlink r:id="rId5" w:history="1">
        <w:r w:rsidRPr="00460565">
          <w:rPr>
            <w:rStyle w:val="Lienhypertexte"/>
          </w:rPr>
          <w:t>astrid.picard@normandie.cci.fr</w:t>
        </w:r>
      </w:hyperlink>
    </w:p>
    <w:p w:rsidR="009866C8" w:rsidRDefault="009866C8" w:rsidP="003A544A">
      <w:pPr>
        <w:jc w:val="both"/>
      </w:pPr>
      <w:r>
        <w:t xml:space="preserve">CMA : Hélène </w:t>
      </w:r>
      <w:proofErr w:type="spellStart"/>
      <w:r>
        <w:t>Morvant</w:t>
      </w:r>
      <w:proofErr w:type="spellEnd"/>
      <w:r>
        <w:t xml:space="preserve"> : </w:t>
      </w:r>
      <w:hyperlink r:id="rId6" w:history="1">
        <w:r w:rsidRPr="00460565">
          <w:rPr>
            <w:rStyle w:val="Lienhypertexte"/>
          </w:rPr>
          <w:t>hmorvant@cma-normandie.fr</w:t>
        </w:r>
      </w:hyperlink>
    </w:p>
    <w:p w:rsidR="009866C8" w:rsidRDefault="009866C8" w:rsidP="003A544A">
      <w:pPr>
        <w:jc w:val="both"/>
      </w:pPr>
      <w:r>
        <w:t>Voici le planning des permanences </w:t>
      </w:r>
      <w:r w:rsidR="00793ADE">
        <w:t xml:space="preserve">pour le premier semestre 2025 </w:t>
      </w:r>
      <w:r>
        <w:t xml:space="preserve">: </w:t>
      </w: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2140"/>
        <w:gridCol w:w="1200"/>
      </w:tblGrid>
      <w:tr w:rsidR="00DB2D40" w:rsidRPr="00DB2D40" w:rsidTr="00DB2D40">
        <w:trPr>
          <w:trHeight w:val="31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11-mars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18-mars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25-mars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 xml:space="preserve"> (matin)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  <w:t>CMA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08-avr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15-avr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22-avr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 xml:space="preserve"> (matin)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  <w:t>CMA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29-avr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  <w:bookmarkStart w:id="0" w:name="_GoBack"/>
        <w:bookmarkEnd w:id="0"/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13-mai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20-mai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 xml:space="preserve"> (matin)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  <w:t>CMA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27-mai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03-juin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10-juin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17-juin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fr-FR"/>
              </w:rPr>
              <w:t xml:space="preserve"> (matin)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b/>
                <w:bCs/>
                <w:color w:val="70AD47"/>
                <w:sz w:val="24"/>
                <w:szCs w:val="24"/>
                <w:lang w:eastAsia="fr-FR"/>
              </w:rPr>
              <w:t>CMA</w:t>
            </w:r>
          </w:p>
        </w:tc>
      </w:tr>
      <w:tr w:rsidR="00DB2D40" w:rsidRPr="00DB2D40" w:rsidTr="00DB2D40">
        <w:trPr>
          <w:trHeight w:val="31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fr-FR"/>
              </w:rPr>
              <w:t>24-juin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Douains</w:t>
            </w:r>
            <w:proofErr w:type="spellEnd"/>
            <w:r w:rsidRPr="00DB2D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(journée)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D40" w:rsidRPr="00DB2D40" w:rsidRDefault="00DB2D40" w:rsidP="00DB2D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</w:pPr>
            <w:r w:rsidRPr="00DB2D40">
              <w:rPr>
                <w:rFonts w:ascii="Calibri" w:eastAsia="Times New Roman" w:hAnsi="Calibri" w:cs="Calibri"/>
                <w:color w:val="4472C4"/>
                <w:sz w:val="24"/>
                <w:szCs w:val="24"/>
                <w:lang w:eastAsia="fr-FR"/>
              </w:rPr>
              <w:t>CCI</w:t>
            </w:r>
          </w:p>
        </w:tc>
      </w:tr>
    </w:tbl>
    <w:p w:rsidR="009866C8" w:rsidRDefault="009866C8" w:rsidP="003A544A">
      <w:pPr>
        <w:jc w:val="both"/>
      </w:pPr>
    </w:p>
    <w:p w:rsidR="007D3F8D" w:rsidRPr="005668A0" w:rsidRDefault="00793ADE" w:rsidP="003A544A">
      <w:pPr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="005668A0">
        <w:rPr>
          <w:rFonts w:cstheme="minorHAnsi"/>
        </w:rPr>
        <w:t xml:space="preserve">Réseau </w:t>
      </w:r>
      <w:r w:rsidR="005668A0" w:rsidRPr="005668A0">
        <w:rPr>
          <w:rFonts w:cstheme="minorHAnsi"/>
        </w:rPr>
        <w:t>Initiative Eure</w:t>
      </w:r>
      <w:r w:rsidR="003A544A">
        <w:rPr>
          <w:rFonts w:cstheme="minorHAnsi"/>
        </w:rPr>
        <w:t xml:space="preserve"> (</w:t>
      </w:r>
      <w:r w:rsidR="003A544A" w:rsidRPr="003A544A">
        <w:rPr>
          <w:rFonts w:cstheme="minorHAnsi"/>
        </w:rPr>
        <w:t>https://www.initiative-eure.fr/</w:t>
      </w:r>
      <w:r w:rsidR="003A544A">
        <w:rPr>
          <w:rFonts w:cstheme="minorHAnsi"/>
        </w:rPr>
        <w:t>) qui accompagne</w:t>
      </w:r>
      <w:r>
        <w:rPr>
          <w:rFonts w:cstheme="minorHAnsi"/>
        </w:rPr>
        <w:t xml:space="preserve"> également</w:t>
      </w:r>
      <w:r w:rsidR="003A544A">
        <w:rPr>
          <w:rFonts w:cstheme="minorHAnsi"/>
        </w:rPr>
        <w:t xml:space="preserve"> les porteurs de </w:t>
      </w:r>
      <w:proofErr w:type="gramStart"/>
      <w:r w:rsidR="003A544A">
        <w:rPr>
          <w:rFonts w:cstheme="minorHAnsi"/>
        </w:rPr>
        <w:t>projets</w:t>
      </w:r>
      <w:proofErr w:type="gramEnd"/>
      <w:r w:rsidR="003A544A">
        <w:rPr>
          <w:rFonts w:cstheme="minorHAnsi"/>
        </w:rPr>
        <w:t xml:space="preserve"> par le biais de prêts </w:t>
      </w:r>
      <w:r w:rsidR="00814451">
        <w:rPr>
          <w:rFonts w:cstheme="minorHAnsi"/>
        </w:rPr>
        <w:t>d’honneur</w:t>
      </w:r>
      <w:r w:rsidR="005668A0" w:rsidRPr="005668A0">
        <w:rPr>
          <w:rFonts w:cstheme="minorHAnsi"/>
        </w:rPr>
        <w:t xml:space="preserve"> assure </w:t>
      </w:r>
      <w:r w:rsidR="002C7641">
        <w:rPr>
          <w:rFonts w:cstheme="minorHAnsi"/>
        </w:rPr>
        <w:t>de la même façon</w:t>
      </w:r>
      <w:r>
        <w:rPr>
          <w:rFonts w:cstheme="minorHAnsi"/>
        </w:rPr>
        <w:t xml:space="preserve"> </w:t>
      </w:r>
      <w:r w:rsidR="005668A0" w:rsidRPr="005668A0">
        <w:rPr>
          <w:rFonts w:cstheme="minorHAnsi"/>
        </w:rPr>
        <w:t>des permanences sur notre territoire</w:t>
      </w:r>
      <w:r>
        <w:rPr>
          <w:rFonts w:cstheme="minorHAnsi"/>
        </w:rPr>
        <w:t xml:space="preserve"> : </w:t>
      </w:r>
    </w:p>
    <w:p w:rsidR="005668A0" w:rsidRPr="005668A0" w:rsidRDefault="00624DE2" w:rsidP="003A544A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793ADE">
        <w:rPr>
          <w:rFonts w:cstheme="minorHAnsi"/>
        </w:rPr>
        <w:t xml:space="preserve">e </w:t>
      </w:r>
      <w:r w:rsidR="005668A0" w:rsidRPr="005668A0">
        <w:rPr>
          <w:rFonts w:cstheme="minorHAnsi"/>
        </w:rPr>
        <w:t>1</w:t>
      </w:r>
      <w:r w:rsidR="005668A0" w:rsidRPr="005668A0">
        <w:rPr>
          <w:rFonts w:cstheme="minorHAnsi"/>
          <w:vertAlign w:val="superscript"/>
        </w:rPr>
        <w:t>ER</w:t>
      </w:r>
      <w:r w:rsidR="005668A0" w:rsidRPr="005668A0">
        <w:rPr>
          <w:rFonts w:cstheme="minorHAnsi"/>
        </w:rPr>
        <w:t xml:space="preserve"> mercredi de chaque mois au Campus de l’Espace à Vernon</w:t>
      </w:r>
    </w:p>
    <w:p w:rsidR="005668A0" w:rsidRPr="005668A0" w:rsidRDefault="00624DE2" w:rsidP="003A544A">
      <w:pPr>
        <w:pStyle w:val="Paragraphedeliste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Le</w:t>
      </w:r>
      <w:r w:rsidR="00793ADE">
        <w:rPr>
          <w:rFonts w:cstheme="minorHAnsi"/>
        </w:rPr>
        <w:t xml:space="preserve"> </w:t>
      </w:r>
      <w:r w:rsidR="005668A0" w:rsidRPr="005668A0">
        <w:rPr>
          <w:rFonts w:cstheme="minorHAnsi"/>
        </w:rPr>
        <w:t>3</w:t>
      </w:r>
      <w:r w:rsidR="005668A0" w:rsidRPr="005668A0">
        <w:rPr>
          <w:rFonts w:cstheme="minorHAnsi"/>
          <w:vertAlign w:val="superscript"/>
        </w:rPr>
        <w:t>ème</w:t>
      </w:r>
      <w:r w:rsidR="005668A0" w:rsidRPr="005668A0">
        <w:rPr>
          <w:rFonts w:cstheme="minorHAnsi"/>
        </w:rPr>
        <w:t xml:space="preserve"> mardi </w:t>
      </w:r>
      <w:r w:rsidR="005668A0" w:rsidRPr="005668A0">
        <w:rPr>
          <w:rFonts w:cstheme="minorHAnsi"/>
          <w:shd w:val="clear" w:color="auto" w:fill="FFFFFF"/>
        </w:rPr>
        <w:t xml:space="preserve">du mois de 13h30 à 17h30 à l'espace Guy </w:t>
      </w:r>
      <w:proofErr w:type="spellStart"/>
      <w:r w:rsidR="005668A0" w:rsidRPr="005668A0">
        <w:rPr>
          <w:rFonts w:cstheme="minorHAnsi"/>
          <w:shd w:val="clear" w:color="auto" w:fill="FFFFFF"/>
        </w:rPr>
        <w:t>Lemasle</w:t>
      </w:r>
      <w:proofErr w:type="spellEnd"/>
      <w:r w:rsidR="005668A0" w:rsidRPr="005668A0">
        <w:rPr>
          <w:rFonts w:cstheme="minorHAnsi"/>
          <w:shd w:val="clear" w:color="auto" w:fill="FFFFFF"/>
        </w:rPr>
        <w:t xml:space="preserve"> Rue des Oiseaux à Les Andelys</w:t>
      </w:r>
    </w:p>
    <w:p w:rsidR="005668A0" w:rsidRDefault="005668A0" w:rsidP="003A544A">
      <w:pPr>
        <w:jc w:val="both"/>
        <w:rPr>
          <w:rFonts w:cstheme="minorHAnsi"/>
        </w:rPr>
      </w:pPr>
      <w:r>
        <w:rPr>
          <w:rFonts w:cstheme="minorHAnsi"/>
        </w:rPr>
        <w:t>Vous pouvez contacter Pierre</w:t>
      </w:r>
      <w:r w:rsidR="00793ADE">
        <w:rPr>
          <w:rFonts w:cstheme="minorHAnsi"/>
        </w:rPr>
        <w:t>-</w:t>
      </w:r>
      <w:r>
        <w:rPr>
          <w:rFonts w:cstheme="minorHAnsi"/>
        </w:rPr>
        <w:t>Henr</w:t>
      </w:r>
      <w:r w:rsidR="00793ADE">
        <w:rPr>
          <w:rFonts w:cstheme="minorHAnsi"/>
        </w:rPr>
        <w:t>i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Delot</w:t>
      </w:r>
      <w:proofErr w:type="spellEnd"/>
      <w:r>
        <w:rPr>
          <w:rFonts w:cstheme="minorHAnsi"/>
        </w:rPr>
        <w:t> </w:t>
      </w:r>
      <w:r w:rsidR="003A544A">
        <w:rPr>
          <w:rFonts w:cstheme="minorHAnsi"/>
        </w:rPr>
        <w:t xml:space="preserve">pour une demande de rendez-vous </w:t>
      </w:r>
      <w:r>
        <w:rPr>
          <w:rFonts w:cstheme="minorHAnsi"/>
        </w:rPr>
        <w:t xml:space="preserve">: </w:t>
      </w:r>
      <w:hyperlink r:id="rId7" w:history="1">
        <w:r w:rsidR="00614599" w:rsidRPr="00773859">
          <w:rPr>
            <w:rStyle w:val="Lienhypertexte"/>
            <w:rFonts w:cstheme="minorHAnsi"/>
          </w:rPr>
          <w:t>phdelot@initiative-eure.fr</w:t>
        </w:r>
      </w:hyperlink>
    </w:p>
    <w:p w:rsidR="00614599" w:rsidRDefault="00614599" w:rsidP="003A544A">
      <w:pPr>
        <w:jc w:val="both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>
            <wp:extent cx="1461052" cy="376698"/>
            <wp:effectExtent l="0" t="0" r="635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ci-portes-de-normandie_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449" cy="39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  <w:lang w:eastAsia="fr-FR"/>
        </w:rPr>
        <w:drawing>
          <wp:inline distT="0" distB="0" distL="0" distR="0">
            <wp:extent cx="655927" cy="65592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M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506" cy="69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noProof/>
          <w:lang w:eastAsia="fr-FR"/>
        </w:rPr>
        <w:drawing>
          <wp:inline distT="0" distB="0" distL="0" distR="0">
            <wp:extent cx="1224083" cy="387626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INITIATIVE E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634" cy="41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41CC"/>
    <w:multiLevelType w:val="hybridMultilevel"/>
    <w:tmpl w:val="C770C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C8"/>
    <w:rsid w:val="00232483"/>
    <w:rsid w:val="002C7641"/>
    <w:rsid w:val="003A544A"/>
    <w:rsid w:val="005668A0"/>
    <w:rsid w:val="00614599"/>
    <w:rsid w:val="00624DE2"/>
    <w:rsid w:val="00793ADE"/>
    <w:rsid w:val="007D3F8D"/>
    <w:rsid w:val="0080517D"/>
    <w:rsid w:val="00814451"/>
    <w:rsid w:val="009866C8"/>
    <w:rsid w:val="00DB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6BA17-0E60-4C39-8006-88B1014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66C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hdelot@initiative-eur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orvant@cma-normandi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trid.picard@normandie.cci.f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TASSERIE</dc:creator>
  <cp:keywords/>
  <dc:description/>
  <cp:lastModifiedBy>Fanny TASSERIE</cp:lastModifiedBy>
  <cp:revision>13</cp:revision>
  <dcterms:created xsi:type="dcterms:W3CDTF">2025-02-24T14:06:00Z</dcterms:created>
  <dcterms:modified xsi:type="dcterms:W3CDTF">2025-03-05T16:21:00Z</dcterms:modified>
</cp:coreProperties>
</file>